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6"/>
        <w:tblpPr w:leftFromText="141" w:rightFromText="141" w:vertAnchor="text" w:horzAnchor="page" w:tblpX="11555" w:tblpY="504"/>
        <w:tblW w:w="4962" w:type="dxa"/>
        <w:tblLook w:val="04A0" w:firstRow="1" w:lastRow="0" w:firstColumn="1" w:lastColumn="0" w:noHBand="0" w:noVBand="1"/>
      </w:tblPr>
      <w:tblGrid>
        <w:gridCol w:w="3760"/>
        <w:gridCol w:w="1202"/>
      </w:tblGrid>
      <w:tr w:rsidR="000A5156" w:rsidTr="000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</w:tcPr>
          <w:p w:rsidR="00ED383A" w:rsidRPr="000A5156" w:rsidRDefault="00ED383A" w:rsidP="000A5156">
            <w:pPr>
              <w:rPr>
                <w:sz w:val="24"/>
              </w:rPr>
            </w:pPr>
            <w:r w:rsidRPr="000A5156">
              <w:rPr>
                <w:sz w:val="24"/>
              </w:rPr>
              <w:t>Områden</w:t>
            </w:r>
          </w:p>
        </w:tc>
        <w:tc>
          <w:tcPr>
            <w:tcW w:w="1202" w:type="dxa"/>
          </w:tcPr>
          <w:p w:rsidR="00ED383A" w:rsidRPr="000A5156" w:rsidRDefault="00ED383A" w:rsidP="000A5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A5156">
              <w:rPr>
                <w:sz w:val="24"/>
              </w:rPr>
              <w:t>Utfört (x)</w:t>
            </w: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6" w:history="1">
              <w:r w:rsidR="00ED383A" w:rsidRPr="004A0ABD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Trach-innerkanyl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7" w:history="1">
              <w:r w:rsidR="00ED383A" w:rsidRPr="004A0ABD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Sug</w:t>
              </w:r>
            </w:hyperlink>
            <w:r w:rsidR="00ED383A"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 xml:space="preserve"> och </w:t>
            </w:r>
            <w:hyperlink r:id="rId8" w:history="1">
              <w:r w:rsidR="00ED383A" w:rsidRPr="004A0ABD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syrgas</w:t>
              </w:r>
            </w:hyperlink>
            <w:r w:rsidR="00ED383A"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, kopplingar med mera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Akutställ, koppla upp osv.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9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Vårdhygien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0" w:history="1">
              <w:r w:rsidR="00ED383A" w:rsidRPr="004A0ABD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PEG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1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Etiska koder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EKG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2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Kulturell handlingsplan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3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Rehabplan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Affolter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4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Teammöte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</w:pPr>
            <w:r w:rsidRPr="00ED383A"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  <w:t>Hjärnskador, e-learning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Delegeringar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5" w:history="1">
              <w:r w:rsidR="00ED383A" w:rsidRPr="007400D9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Blodprover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6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Akuta sjukdomstillstånd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Akuta sjukdomstillstånd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7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Patientens rättigheter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Taktil massage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18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Kränkande särbehandling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19" w:history="1">
              <w:r w:rsidR="00ED383A" w:rsidRPr="001362DB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RIK/KAD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</w:pPr>
            <w:r w:rsidRPr="00ED383A">
              <w:rPr>
                <w:rFonts w:ascii="Calibri" w:eastAsia="Times New Roman" w:hAnsi="Calibri" w:cs="Calibri"/>
                <w:b w:val="0"/>
                <w:color w:val="C00000"/>
                <w:lang w:eastAsia="sv-SE"/>
              </w:rPr>
              <w:t>När får jag gå in i en journal? Film i LoK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lang w:eastAsia="sv-SE"/>
              </w:rPr>
            </w:pPr>
          </w:p>
        </w:tc>
      </w:tr>
      <w:tr w:rsidR="000A5156" w:rsidRPr="00ED383A" w:rsidTr="000A515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0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Kommunikation, SBAR och Teach-back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Default="00F839B3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21" w:history="1">
              <w:r w:rsidR="00ED383A" w:rsidRPr="001362DB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>Kontrakturprofylax</w:t>
              </w:r>
              <w:r w:rsidR="001362DB" w:rsidRPr="001362DB">
                <w:rPr>
                  <w:rStyle w:val="Hyperlnk"/>
                  <w:rFonts w:ascii="Calibri Light" w:eastAsia="Times New Roman" w:hAnsi="Calibri Light" w:cs="Calibri Light"/>
                  <w:b w:val="0"/>
                  <w:bCs w:val="0"/>
                  <w:sz w:val="24"/>
                  <w:szCs w:val="24"/>
                  <w:lang w:eastAsia="sv-SE"/>
                </w:rPr>
                <w:t xml:space="preserve"> – spinal</w:t>
              </w:r>
            </w:hyperlink>
          </w:p>
          <w:p w:rsidR="001362DB" w:rsidRPr="00ED383A" w:rsidRDefault="00F839B3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hyperlink r:id="rId22" w:history="1">
              <w:r w:rsidR="001362DB">
                <w:rPr>
                  <w:b w:val="0"/>
                  <w:bCs w:val="0"/>
                  <w:color w:val="0000FF"/>
                  <w:u w:val="single"/>
                </w:rPr>
                <w:t>Kontrakturprofylax vid stroke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3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Säkerhetsrutiner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  <w:tr w:rsidR="000A5156" w:rsidRPr="00ED383A" w:rsidTr="000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ED383A" w:rsidP="000A5156">
            <w:pPr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</w:pPr>
            <w:r w:rsidRPr="00ED383A"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  <w:lang w:eastAsia="sv-SE"/>
              </w:rPr>
              <w:t>NEWS e-learning</w:t>
            </w:r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sv-SE"/>
              </w:rPr>
            </w:pPr>
          </w:p>
        </w:tc>
      </w:tr>
      <w:tr w:rsidR="000A5156" w:rsidRPr="00ED383A" w:rsidTr="000A515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noWrap/>
            <w:hideMark/>
          </w:tcPr>
          <w:p w:rsidR="00ED383A" w:rsidRPr="00ED383A" w:rsidRDefault="00F839B3" w:rsidP="000A5156">
            <w:pPr>
              <w:rPr>
                <w:rFonts w:ascii="Calibri" w:eastAsia="Times New Roman" w:hAnsi="Calibri" w:cs="Calibri"/>
                <w:b w:val="0"/>
                <w:color w:val="C00000"/>
                <w:u w:val="single"/>
                <w:lang w:eastAsia="sv-SE"/>
              </w:rPr>
            </w:pPr>
            <w:hyperlink r:id="rId24" w:history="1">
              <w:r w:rsidR="00ED383A" w:rsidRPr="000A5156">
                <w:rPr>
                  <w:rFonts w:ascii="Calibri" w:eastAsia="Times New Roman" w:hAnsi="Calibri" w:cs="Calibri"/>
                  <w:b w:val="0"/>
                  <w:color w:val="C00000"/>
                  <w:u w:val="single"/>
                  <w:lang w:eastAsia="sv-SE"/>
                </w:rPr>
                <w:t>Informationssäkerhet - rehabmedicin</w:t>
              </w:r>
            </w:hyperlink>
          </w:p>
        </w:tc>
        <w:tc>
          <w:tcPr>
            <w:tcW w:w="1202" w:type="dxa"/>
          </w:tcPr>
          <w:p w:rsidR="00ED383A" w:rsidRPr="00ED383A" w:rsidRDefault="00ED383A" w:rsidP="000A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u w:val="single"/>
                <w:lang w:eastAsia="sv-SE"/>
              </w:rPr>
            </w:pPr>
          </w:p>
        </w:tc>
      </w:tr>
    </w:tbl>
    <w:p w:rsidR="00944213" w:rsidRPr="00F84BD6" w:rsidRDefault="00F35350">
      <w:pPr>
        <w:rPr>
          <w:b/>
          <w:i/>
        </w:rPr>
      </w:pPr>
      <w:r w:rsidRPr="00F84BD6">
        <w:rPr>
          <w:b/>
          <w:i/>
          <w:noProof/>
          <w:color w:val="C00000"/>
          <w:sz w:val="40"/>
          <w:lang w:eastAsia="sv-SE"/>
        </w:rPr>
        <mc:AlternateContent>
          <mc:Choice Requires="cx1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-829457</wp:posOffset>
                </wp:positionH>
                <wp:positionV relativeFrom="paragraph">
                  <wp:posOffset>537</wp:posOffset>
                </wp:positionV>
                <wp:extent cx="7160456" cy="6570345"/>
                <wp:effectExtent l="0" t="0" r="0" b="0"/>
                <wp:wrapNone/>
                <wp:docPr id="1" name="Diagram 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2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-829457</wp:posOffset>
                </wp:positionH>
                <wp:positionV relativeFrom="paragraph">
                  <wp:posOffset>537</wp:posOffset>
                </wp:positionV>
                <wp:extent cx="7160456" cy="6570345"/>
                <wp:effectExtent l="0" t="0" r="0" b="0"/>
                <wp:wrapNone/>
                <wp:docPr id="1" name="Diagram 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agram 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0260" cy="657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ED383A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8286676</wp:posOffset>
            </wp:positionH>
            <wp:positionV relativeFrom="page">
              <wp:posOffset>127591</wp:posOffset>
            </wp:positionV>
            <wp:extent cx="1307805" cy="842025"/>
            <wp:effectExtent l="0" t="0" r="0" b="0"/>
            <wp:wrapNone/>
            <wp:docPr id="2" name="Bild 2" descr="Gratis illustrationer av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illustrationer av I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40BFAE"/>
                        </a:clrFrom>
                        <a:clrTo>
                          <a:srgbClr val="40BFA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5" cy="8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83A">
        <w:rPr>
          <w:noProof/>
          <w:lang w:eastAsia="sv-SE"/>
        </w:rPr>
        <w:t xml:space="preserve"> </w:t>
      </w:r>
    </w:p>
    <w:sectPr w:rsidR="00944213" w:rsidRPr="00F84BD6" w:rsidSect="00172AF7">
      <w:headerReference w:type="default" r:id="rId28"/>
      <w:foot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AA1" w:rsidRDefault="00EC0AA1" w:rsidP="00172AF7">
      <w:pPr>
        <w:spacing w:after="0" w:line="240" w:lineRule="auto"/>
      </w:pPr>
      <w:r>
        <w:separator/>
      </w:r>
    </w:p>
  </w:endnote>
  <w:endnote w:type="continuationSeparator" w:id="0">
    <w:p w:rsidR="00EC0AA1" w:rsidRDefault="00EC0AA1" w:rsidP="0017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350" w:rsidRDefault="00F35350" w:rsidP="00F35350">
    <w:pPr>
      <w:pStyle w:val="Sidfot"/>
    </w:pPr>
    <w:r w:rsidRPr="008907C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C0E80C8" wp14:editId="036F5B31">
          <wp:simplePos x="0" y="0"/>
          <wp:positionH relativeFrom="column">
            <wp:posOffset>7553325</wp:posOffset>
          </wp:positionH>
          <wp:positionV relativeFrom="paragraph">
            <wp:posOffset>-154305</wp:posOffset>
          </wp:positionV>
          <wp:extent cx="1687830" cy="422275"/>
          <wp:effectExtent l="0" t="0" r="762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28C6">
      <w:rPr>
        <w:noProof/>
        <w:color w:val="FFFFFF" w:themeColor="background1"/>
        <w14:textFill>
          <w14:noFill/>
        </w14:textFill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0E8D1" wp14:editId="386093AF">
              <wp:simplePos x="0" y="0"/>
              <wp:positionH relativeFrom="column">
                <wp:posOffset>6639951</wp:posOffset>
              </wp:positionH>
              <wp:positionV relativeFrom="paragraph">
                <wp:posOffset>270900</wp:posOffset>
              </wp:positionV>
              <wp:extent cx="3122930" cy="281305"/>
              <wp:effectExtent l="0" t="0" r="1270" b="4445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93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350" w:rsidRPr="00FB28C6" w:rsidRDefault="00F35350" w:rsidP="00F35350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FB28C6"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REHABILITERINGSMEDICINSKA KLINIKEN</w:t>
                          </w:r>
                        </w:p>
                        <w:p w:rsidR="00F35350" w:rsidRDefault="00F35350" w:rsidP="00F353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0E8D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22.85pt;margin-top:21.35pt;width:245.9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" stroked="f">
              <v:textbox>
                <w:txbxContent>
                  <w:p w:rsidR="00F35350" w:rsidRPr="00FB28C6" w:rsidRDefault="00F35350" w:rsidP="00F35350">
                    <w:pPr>
                      <w:rPr>
                        <w:b/>
                        <w:color w:val="C00000"/>
                      </w:rPr>
                    </w:pPr>
                    <w:r w:rsidRPr="00FB28C6">
                      <w:rPr>
                        <w:rFonts w:ascii="Arial" w:hAnsi="Arial" w:cs="Arial"/>
                        <w:b/>
                        <w:color w:val="C00000"/>
                      </w:rPr>
                      <w:t>REHABILITERINGSMEDICINSKA KLINIKEN</w:t>
                    </w:r>
                  </w:p>
                  <w:p w:rsidR="00F35350" w:rsidRDefault="00F35350" w:rsidP="00F35350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  <w:p w:rsidR="00B67858" w:rsidRPr="00F35350" w:rsidRDefault="00B67858" w:rsidP="00F353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AA1" w:rsidRDefault="00EC0AA1" w:rsidP="00172AF7">
      <w:pPr>
        <w:spacing w:after="0" w:line="240" w:lineRule="auto"/>
      </w:pPr>
      <w:r>
        <w:separator/>
      </w:r>
    </w:p>
  </w:footnote>
  <w:footnote w:type="continuationSeparator" w:id="0">
    <w:p w:rsidR="00EC0AA1" w:rsidRDefault="00EC0AA1" w:rsidP="0017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AF7" w:rsidRDefault="006A686E">
    <w:pPr>
      <w:pStyle w:val="Sidhuvud"/>
    </w:pPr>
    <w:r>
      <w:rPr>
        <w:b/>
        <w:i/>
        <w:color w:val="C00000"/>
        <w:sz w:val="40"/>
      </w:rPr>
      <w:t>Självstudier till k</w:t>
    </w:r>
    <w:r w:rsidR="00F84BD6" w:rsidRPr="00F84BD6">
      <w:rPr>
        <w:b/>
        <w:i/>
        <w:color w:val="C00000"/>
        <w:sz w:val="40"/>
      </w:rPr>
      <w:t>örkort – underskötersk</w:t>
    </w:r>
    <w:r w:rsidR="00F84BD6">
      <w:rPr>
        <w:b/>
        <w:i/>
        <w:color w:val="C00000"/>
        <w:sz w:val="4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F7"/>
    <w:rsid w:val="000048C7"/>
    <w:rsid w:val="000A5156"/>
    <w:rsid w:val="001362DB"/>
    <w:rsid w:val="00172AF7"/>
    <w:rsid w:val="004A0ABD"/>
    <w:rsid w:val="004E3813"/>
    <w:rsid w:val="00532DD6"/>
    <w:rsid w:val="006A686E"/>
    <w:rsid w:val="00733945"/>
    <w:rsid w:val="007400D9"/>
    <w:rsid w:val="00944213"/>
    <w:rsid w:val="00B67858"/>
    <w:rsid w:val="00EC0AA1"/>
    <w:rsid w:val="00ED383A"/>
    <w:rsid w:val="00F35350"/>
    <w:rsid w:val="00F839B3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D3FEFE-4D53-4033-9BC0-CF0BC4C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4BD6"/>
  </w:style>
  <w:style w:type="paragraph" w:styleId="Sidfot">
    <w:name w:val="footer"/>
    <w:basedOn w:val="Normal"/>
    <w:link w:val="SidfotChar"/>
    <w:uiPriority w:val="99"/>
    <w:unhideWhenUsed/>
    <w:rsid w:val="00F84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4BD6"/>
  </w:style>
  <w:style w:type="table" w:styleId="Tabellrutnt">
    <w:name w:val="Table Grid"/>
    <w:basedOn w:val="Normaltabell"/>
    <w:uiPriority w:val="39"/>
    <w:rsid w:val="00ED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D383A"/>
    <w:rPr>
      <w:color w:val="0563C1"/>
      <w:u w:val="single"/>
    </w:rPr>
  </w:style>
  <w:style w:type="table" w:styleId="Rutntstabell3dekorfrg5">
    <w:name w:val="Grid Table 3 Accent 5"/>
    <w:basedOn w:val="Normaltabell"/>
    <w:uiPriority w:val="48"/>
    <w:rsid w:val="00ED38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A51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dekorfrg6">
    <w:name w:val="Grid Table 4 Accent 6"/>
    <w:basedOn w:val="Normaltabell"/>
    <w:uiPriority w:val="49"/>
    <w:rsid w:val="000A51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dekorfrg6">
    <w:name w:val="Grid Table 5 Dark Accent 6"/>
    <w:basedOn w:val="Normaltabell"/>
    <w:uiPriority w:val="50"/>
    <w:rsid w:val="000A51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stycke">
    <w:name w:val="List Paragraph"/>
    <w:basedOn w:val="Normal"/>
    <w:uiPriority w:val="34"/>
    <w:qFormat/>
    <w:rsid w:val="000A5156"/>
    <w:pPr>
      <w:ind w:left="720"/>
      <w:contextualSpacing/>
    </w:pPr>
  </w:style>
  <w:style w:type="table" w:styleId="Rutntstabell2dekorfrg6">
    <w:name w:val="Grid Table 2 Accent 6"/>
    <w:basedOn w:val="Normaltabell"/>
    <w:uiPriority w:val="47"/>
    <w:rsid w:val="000A515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getavstnd">
    <w:name w:val="No Spacing"/>
    <w:link w:val="IngetavstndChar"/>
    <w:uiPriority w:val="1"/>
    <w:qFormat/>
    <w:rsid w:val="00B67858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67858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dhandboken.se/vard-och-behandling/lakemedelsbehandling/oxygenbehandling/" TargetMode="External"/><Relationship Id="rId13" Type="http://schemas.openxmlformats.org/officeDocument/2006/relationships/hyperlink" Target="https://intranat.rjl.se/dokument/evo/35f084b9-6471-44dc-b205-b361fe6fad89" TargetMode="External"/><Relationship Id="rId18" Type="http://schemas.openxmlformats.org/officeDocument/2006/relationships/hyperlink" Target="https://intranat.rjl.se/dokument/evo/dccc0012-26c3-4a95-b421-827dc93114c2?pageId=56765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s://www.1177.se/Jonkopings-lan/behandling--hjalpmedel/smartbehandlingar-och-rehabilitering/kontrakturprofylax---behall-rorlighet-i-leder-och-muskler/" TargetMode="External"/><Relationship Id="rId7" Type="http://schemas.openxmlformats.org/officeDocument/2006/relationships/hyperlink" Target="https://www.vardhandboken.se/vard-och-behandling/luftvagar/sugning-av-luftvagar/" TargetMode="External"/><Relationship Id="rId12" Type="http://schemas.openxmlformats.org/officeDocument/2006/relationships/hyperlink" Target="https://intranat.rjl.se/Dokument/Evo/a7f4d6e7-5360-475c-9e0a-cfdeb40e334d" TargetMode="External"/><Relationship Id="rId17" Type="http://schemas.openxmlformats.org/officeDocument/2006/relationships/hyperlink" Target="https://intranat.rjl.se/Dokument/Evo/dfe711ef-c8d9-48c5-beca-2bbfea983838" TargetMode="External"/><Relationship Id="rId25" Type="http://schemas.microsoft.com/office/2014/relationships/chartEx" Target="charts/chartEx1.xml"/><Relationship Id="rId2" Type="http://schemas.openxmlformats.org/officeDocument/2006/relationships/settings" Target="settings.xml"/><Relationship Id="rId16" Type="http://schemas.openxmlformats.org/officeDocument/2006/relationships/hyperlink" Target="https://intranat.rjl.se/dokument/evo/e39f9a08-c809-4eb0-9ce2-eb53412dc769" TargetMode="External"/><Relationship Id="rId20" Type="http://schemas.openxmlformats.org/officeDocument/2006/relationships/hyperlink" Target="https://intranat.rjl.se/arbetsplatsytor/arbetsplatsytor/psykiatri-rehab-och-diagnostik/rehabiliteringsmedicinska-kliniken/sidor/patientsakerhet---saker-vard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vardhandboken.se/vard-och-behandling/luftvagar/trakeostomi/trakealkanyler-och-rengoring/" TargetMode="External"/><Relationship Id="rId11" Type="http://schemas.openxmlformats.org/officeDocument/2006/relationships/hyperlink" Target="https://intranat.rjl.se/dokument/evo/68ce80d4-8a04-4d02-9b27-90f8d1384250" TargetMode="External"/><Relationship Id="rId24" Type="http://schemas.openxmlformats.org/officeDocument/2006/relationships/hyperlink" Target="https://intranat.rjl.se/dokument/evo/e39f9a08-c809-4eb0-9ce2-eb53412dc76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vardhandboken.se/undersokning-och-provtagning/blodprov/blodprov-venos-provtagning/tillvagagangssatt/" TargetMode="External"/><Relationship Id="rId23" Type="http://schemas.openxmlformats.org/officeDocument/2006/relationships/hyperlink" Target="https://intranat.rjl.se/arbetsplatsytor/arbetsplatsytor/psykiatri-rehab-och-diagnostik/rehabiliteringsmedicinska-kliniken/sidor/sakerhet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vardhandboken.se/vard-och-behandling/nutrition/nutrition-enteral/administrationsvagar-skotselrad-och-omvardnad/" TargetMode="External"/><Relationship Id="rId19" Type="http://schemas.openxmlformats.org/officeDocument/2006/relationships/hyperlink" Target="https://www.vardhandboken.se/katetrar-sonder-och-dran/kateterisering-av-urinblasa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ranat.rjl.se/dokument/evo/f63b1631-4d14-44f5-8e99-c34a67f8e936" TargetMode="External"/><Relationship Id="rId14" Type="http://schemas.openxmlformats.org/officeDocument/2006/relationships/hyperlink" Target="https://intranat.rjl.se/dokument/evo/3125ecc6-24c6-4a05-ac43-2193307579d0" TargetMode="External"/><Relationship Id="rId22" Type="http://schemas.openxmlformats.org/officeDocument/2006/relationships/hyperlink" Target="https://www.1177.se/Jonkopings-lan/behandling--hjalpmedel/smartbehandlingar-och-rehabilitering/rehabilitering-i-jonkopings-lan/kontrakturprofylax-vid-stroke/" TargetMode="External"/><Relationship Id="rId27" Type="http://schemas.openxmlformats.org/officeDocument/2006/relationships/image" Target="media/image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\\jkp.ltjkpg.se\gem\Home04\vinka2\Dokument\Verksamhetsutveckling\Ansvarsom&#229;rden%20%20-%20avd\&#197;rshjul\&#197;rshjul%20usk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Blad1!$A$2:$B$49</cx:f>
        <cx:lvl ptCount="48">
          <cx:pt idx="0">Trach-innerkanyl</cx:pt>
          <cx:pt idx="1">Sug och syrgas, kopplingar med mera</cx:pt>
          <cx:pt idx="2">.</cx:pt>
          <cx:pt idx="3">.</cx:pt>
          <cx:pt idx="4">Akutställ, koppla upp osv.</cx:pt>
          <cx:pt idx="5">.</cx:pt>
          <cx:pt idx="6">.</cx:pt>
          <cx:pt idx="7">Vårdhygien</cx:pt>
          <cx:pt idx="8">.</cx:pt>
          <cx:pt idx="9">.</cx:pt>
          <cx:pt idx="10">PEG</cx:pt>
          <cx:pt idx="11">Etiska koder</cx:pt>
          <cx:pt idx="12">.</cx:pt>
          <cx:pt idx="13">.</cx:pt>
          <cx:pt idx="14">EKG</cx:pt>
          <cx:pt idx="15">Kulturell handlingsplan</cx:pt>
          <cx:pt idx="16">.</cx:pt>
          <cx:pt idx="17">Rehabplan</cx:pt>
          <cx:pt idx="18">Affolter</cx:pt>
          <cx:pt idx="19">Teammöte</cx:pt>
          <cx:pt idx="20">.</cx:pt>
          <cx:pt idx="21">.</cx:pt>
          <cx:pt idx="22">.</cx:pt>
          <cx:pt idx="23">Hjärnskador, e-learning</cx:pt>
          <cx:pt idx="24">.</cx:pt>
          <cx:pt idx="25">Delegeringar</cx:pt>
          <cx:pt idx="26">Blodprover</cx:pt>
          <cx:pt idx="27">Akuta sjukdomstillstånd</cx:pt>
          <cx:pt idx="28">.</cx:pt>
          <cx:pt idx="29">Akuta sjukdomstillstånd</cx:pt>
          <cx:pt idx="30">.</cx:pt>
          <cx:pt idx="31">Patientens rättigheter</cx:pt>
          <cx:pt idx="32">Taktil massage</cx:pt>
          <cx:pt idx="33">.</cx:pt>
          <cx:pt idx="34">.</cx:pt>
          <cx:pt idx="35">Kränkande särbehandling</cx:pt>
          <cx:pt idx="36">RIK/KAD</cx:pt>
          <cx:pt idx="37">När får jag gå in i en journal? Film i LoK</cx:pt>
          <cx:pt idx="38">.</cx:pt>
          <cx:pt idx="39">Kommunikation, SBAR och Teach-back</cx:pt>
          <cx:pt idx="40">.</cx:pt>
          <cx:pt idx="41">.</cx:pt>
          <cx:pt idx="42">Kontrakturprofylax</cx:pt>
          <cx:pt idx="43">Säkerhetsrutiner</cx:pt>
          <cx:pt idx="44">.</cx:pt>
          <cx:pt idx="45">.</cx:pt>
          <cx:pt idx="46">NEWS e-learning</cx:pt>
          <cx:pt idx="47">Informationssäkerhet - rehabmedicin</cx:pt>
        </cx:lvl>
        <cx:lvl ptCount="48">
          <cx:pt idx="0">December</cx:pt>
          <cx:pt idx="1">December</cx:pt>
          <cx:pt idx="2">December</cx:pt>
          <cx:pt idx="3">December</cx:pt>
          <cx:pt idx="4">November</cx:pt>
          <cx:pt idx="5">November</cx:pt>
          <cx:pt idx="6">November</cx:pt>
          <cx:pt idx="7">November</cx:pt>
          <cx:pt idx="8">Oktober</cx:pt>
          <cx:pt idx="9">Oktober</cx:pt>
          <cx:pt idx="10">Oktober</cx:pt>
          <cx:pt idx="11">Oktober</cx:pt>
          <cx:pt idx="12">September</cx:pt>
          <cx:pt idx="13">September</cx:pt>
          <cx:pt idx="14">September</cx:pt>
          <cx:pt idx="15">September</cx:pt>
          <cx:pt idx="16">Augusti</cx:pt>
          <cx:pt idx="17">Augusti</cx:pt>
          <cx:pt idx="18">Augusti</cx:pt>
          <cx:pt idx="19">Augusti</cx:pt>
          <cx:pt idx="20">Juli</cx:pt>
          <cx:pt idx="21">Juli</cx:pt>
          <cx:pt idx="22">Juli</cx:pt>
          <cx:pt idx="23">Juli</cx:pt>
          <cx:pt idx="24">Juni</cx:pt>
          <cx:pt idx="25">Juni</cx:pt>
          <cx:pt idx="26">Juni</cx:pt>
          <cx:pt idx="27">Juni</cx:pt>
          <cx:pt idx="28">Maj</cx:pt>
          <cx:pt idx="29">Maj</cx:pt>
          <cx:pt idx="30">Maj</cx:pt>
          <cx:pt idx="31">Maj</cx:pt>
          <cx:pt idx="32">April</cx:pt>
          <cx:pt idx="33">April</cx:pt>
          <cx:pt idx="34">April</cx:pt>
          <cx:pt idx="35">April</cx:pt>
          <cx:pt idx="36">Mars</cx:pt>
          <cx:pt idx="37">Mars</cx:pt>
          <cx:pt idx="38">Mars</cx:pt>
          <cx:pt idx="39">Mars</cx:pt>
          <cx:pt idx="40">Februari</cx:pt>
          <cx:pt idx="41">Februari</cx:pt>
          <cx:pt idx="42">Februari</cx:pt>
          <cx:pt idx="43">Februari</cx:pt>
          <cx:pt idx="44">Januari</cx:pt>
          <cx:pt idx="45">Januari</cx:pt>
          <cx:pt idx="46">Januari</cx:pt>
          <cx:pt idx="47">Januari</cx:pt>
        </cx:lvl>
      </cx:strDim>
      <cx:numDim type="size">
        <cx:f>Blad1!$C$2:$C$49</cx:f>
        <cx:lvl ptCount="48" formatCode="Standard">
          <cx:pt idx="0">2.0833333333333335</cx:pt>
          <cx:pt idx="1">2.0833333333333335</cx:pt>
          <cx:pt idx="2">2.0833333333333335</cx:pt>
          <cx:pt idx="3">2.0833333333333335</cx:pt>
          <cx:pt idx="4">2.0833333333333335</cx:pt>
          <cx:pt idx="5">2.0833333333333335</cx:pt>
          <cx:pt idx="6">2.0833333333333335</cx:pt>
          <cx:pt idx="7">2.0833333333333335</cx:pt>
          <cx:pt idx="8">2.0833333333333335</cx:pt>
          <cx:pt idx="9">2.0833333333333335</cx:pt>
          <cx:pt idx="10">2.0833333333333335</cx:pt>
          <cx:pt idx="11">2.0833333333333335</cx:pt>
          <cx:pt idx="12">2.0833333333333335</cx:pt>
          <cx:pt idx="13">2.0833333333333335</cx:pt>
          <cx:pt idx="14">2.0833333333333335</cx:pt>
          <cx:pt idx="15">2.0833333333333335</cx:pt>
          <cx:pt idx="16">2.0833333333333335</cx:pt>
          <cx:pt idx="17">2.0833333333333335</cx:pt>
          <cx:pt idx="18">2.0833333333333335</cx:pt>
          <cx:pt idx="19">2.0833333333333335</cx:pt>
          <cx:pt idx="20">2.0833333333333335</cx:pt>
          <cx:pt idx="21">2.0833333333333335</cx:pt>
          <cx:pt idx="22">2.0833333333333335</cx:pt>
          <cx:pt idx="23">2.0833333333333335</cx:pt>
          <cx:pt idx="24">2.0833333333333335</cx:pt>
          <cx:pt idx="25">2.0833333333333335</cx:pt>
          <cx:pt idx="26">2.0833333333333335</cx:pt>
          <cx:pt idx="27">2.0833333333333335</cx:pt>
          <cx:pt idx="28">2.0833333333333335</cx:pt>
          <cx:pt idx="29">2.0833333333333335</cx:pt>
          <cx:pt idx="30">2.0833333333333335</cx:pt>
          <cx:pt idx="31">2.0833333333333335</cx:pt>
          <cx:pt idx="32">2.0833333333333335</cx:pt>
          <cx:pt idx="33">2.0833333333333335</cx:pt>
          <cx:pt idx="34">2.0833333333333335</cx:pt>
          <cx:pt idx="35">2.0833333333333335</cx:pt>
          <cx:pt idx="36">2.0833333333333335</cx:pt>
          <cx:pt idx="37">2.0833333333333335</cx:pt>
          <cx:pt idx="38">2.0833333333333335</cx:pt>
          <cx:pt idx="39">2.0833333333333335</cx:pt>
          <cx:pt idx="40">2.0833333333333335</cx:pt>
          <cx:pt idx="41">2.0833333333333335</cx:pt>
          <cx:pt idx="42">2.0833333333333335</cx:pt>
          <cx:pt idx="43">2.0833333333333335</cx:pt>
          <cx:pt idx="44">2.0833333333333335</cx:pt>
          <cx:pt idx="45">2.0833333333333335</cx:pt>
          <cx:pt idx="46">2.0833333333333335</cx:pt>
          <cx:pt idx="47">2.0833333333333335</cx:pt>
        </cx:lvl>
      </cx:numDim>
    </cx:data>
  </cx:chartData>
  <cx:chart>
    <cx:plotArea>
      <cx:plotAreaRegion>
        <cx:plotSurface>
          <cx:spPr>
            <a:noFill/>
            <a:ln>
              <a:noFill/>
            </a:ln>
          </cx:spPr>
        </cx:plotSurface>
        <cx:series layoutId="sunburst" uniqueId="{FF78396C-2240-478D-B23B-DC6B3819E239}">
          <cx:dataLabels>
            <cx:visibility seriesName="0" categoryName="1" value="0"/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December</a:t>
                  </a:r>
                </a:p>
              </cx:txPr>
              <cx:visibility seriesName="0" categoryName="1" value="0"/>
            </cx:dataLabel>
            <cx:dataLabel idx="5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November</a:t>
                  </a:r>
                </a:p>
              </cx:txPr>
              <cx:visibility seriesName="0" categoryName="1" value="0"/>
            </cx:dataLabel>
            <cx:dataLabel idx="1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Oktober</a:t>
                  </a:r>
                </a:p>
              </cx:txPr>
              <cx:visibility seriesName="0" categoryName="1" value="0"/>
            </cx:dataLabel>
            <cx:dataLabel idx="15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September</a:t>
                  </a:r>
                </a:p>
              </cx:txPr>
              <cx:visibility seriesName="0" categoryName="1" value="0"/>
            </cx:dataLabel>
            <cx:dataLabel idx="2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Augusti</a:t>
                  </a:r>
                </a:p>
              </cx:txPr>
              <cx:visibility seriesName="0" categoryName="1" value="0"/>
            </cx:dataLabel>
            <cx:dataLabel idx="25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Juli</a:t>
                  </a:r>
                </a:p>
              </cx:txPr>
              <cx:visibility seriesName="0" categoryName="1" value="0"/>
            </cx:dataLabel>
            <cx:dataLabel idx="3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Juni</a:t>
                  </a:r>
                </a:p>
              </cx:txPr>
              <cx:visibility seriesName="0" categoryName="1" value="0"/>
            </cx:dataLabel>
            <cx:dataLabel idx="35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Maj</a:t>
                  </a:r>
                </a:p>
              </cx:txPr>
              <cx:visibility seriesName="0" categoryName="1" value="0"/>
            </cx:dataLabel>
            <cx:dataLabel idx="4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April</a:t>
                  </a:r>
                </a:p>
              </cx:txPr>
              <cx:visibility seriesName="0" categoryName="1" value="0"/>
            </cx:dataLabel>
            <cx:dataLabel idx="45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Mars</a:t>
                  </a:r>
                </a:p>
              </cx:txPr>
              <cx:visibility seriesName="0" categoryName="1" value="0"/>
            </cx:dataLabel>
            <cx:dataLabel idx="5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Februari</a:t>
                  </a:r>
                </a:p>
              </cx:txPr>
              <cx:visibility seriesName="0" categoryName="1" value="0"/>
            </cx:dataLabel>
            <cx:dataLabel idx="55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 sz="1000" b="1"/>
                  </a:pPr>
                  <a:r>
                    <a:rPr lang="sv-SE" b="1"/>
                    <a:t>Januari</a:t>
                  </a:r>
                </a:p>
              </cx:txPr>
              <cx:visibility seriesName="0" categoryName="1" value="0"/>
            </cx:dataLabel>
          </cx:dataLabels>
          <cx:dataId val="0"/>
        </cx:series>
      </cx:plotAreaRegion>
    </cx:plotArea>
  </cx:chart>
  <cx:spPr>
    <a:noFill/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50000"/>
        <a:lumOff val="50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ln w="19050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  <cs:bodyPr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  <cs:bodyPr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Kalista</dc:creator>
  <cp:keywords/>
  <dc:description/>
  <cp:lastModifiedBy>Karolina Krakau</cp:lastModifiedBy>
  <cp:revision>2</cp:revision>
  <dcterms:created xsi:type="dcterms:W3CDTF">2023-05-23T13:03:00Z</dcterms:created>
  <dcterms:modified xsi:type="dcterms:W3CDTF">2023-05-23T13:03:00Z</dcterms:modified>
</cp:coreProperties>
</file>